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6587" w14:textId="77777777" w:rsidR="00BD4659" w:rsidRDefault="00BD4659">
      <w:pPr>
        <w:pStyle w:val="Corpotesto"/>
        <w:ind w:left="0"/>
        <w:rPr>
          <w:b/>
          <w:sz w:val="26"/>
        </w:rPr>
      </w:pPr>
    </w:p>
    <w:p w14:paraId="39FEEB0C" w14:textId="77777777" w:rsidR="00713E25" w:rsidRDefault="00BD4659">
      <w:pPr>
        <w:pStyle w:val="Corpotesto"/>
        <w:ind w:left="0"/>
        <w:rPr>
          <w:rFonts w:asciiTheme="minorHAnsi" w:hAnsiTheme="minorHAnsi" w:cstheme="minorHAnsi"/>
          <w:b/>
        </w:rPr>
      </w:pPr>
      <w:r w:rsidRPr="000955AF">
        <w:rPr>
          <w:rFonts w:asciiTheme="minorHAnsi" w:hAnsiTheme="minorHAnsi" w:cstheme="minorHAnsi"/>
          <w:b/>
        </w:rPr>
        <w:t>STRUTTURA DI RIFERIMENTO………………………………………………………………</w:t>
      </w:r>
      <w:r w:rsidR="000955AF">
        <w:rPr>
          <w:rFonts w:asciiTheme="minorHAnsi" w:hAnsiTheme="minorHAnsi" w:cstheme="minorHAnsi"/>
          <w:b/>
        </w:rPr>
        <w:t>……………………………………..</w:t>
      </w:r>
    </w:p>
    <w:p w14:paraId="2D03CEF6" w14:textId="77777777" w:rsidR="00713E25" w:rsidRPr="000955AF" w:rsidRDefault="00713E25">
      <w:pPr>
        <w:pStyle w:val="Corpotesto"/>
        <w:spacing w:before="3"/>
        <w:ind w:left="0"/>
        <w:rPr>
          <w:rFonts w:asciiTheme="minorHAnsi" w:hAnsiTheme="minorHAnsi" w:cstheme="minorHAnsi"/>
          <w:b/>
          <w:sz w:val="22"/>
        </w:rPr>
      </w:pPr>
    </w:p>
    <w:p w14:paraId="0627777B" w14:textId="77777777" w:rsidR="00713E25" w:rsidRPr="000955AF" w:rsidRDefault="0001060C">
      <w:pPr>
        <w:pStyle w:val="Corpotesto"/>
        <w:ind w:right="132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</w:rPr>
        <w:t xml:space="preserve">L’esame in </w:t>
      </w:r>
      <w:proofErr w:type="spellStart"/>
      <w:r w:rsidRPr="000955AF">
        <w:rPr>
          <w:rFonts w:asciiTheme="minorHAnsi" w:hAnsiTheme="minorHAnsi" w:cstheme="minorHAnsi"/>
        </w:rPr>
        <w:t>cicloplegia</w:t>
      </w:r>
      <w:proofErr w:type="spellEnd"/>
      <w:r w:rsidRPr="000955AF">
        <w:rPr>
          <w:rFonts w:asciiTheme="minorHAnsi" w:hAnsiTheme="minorHAnsi" w:cstheme="minorHAnsi"/>
        </w:rPr>
        <w:t xml:space="preserve"> va sempre concordato con i genitori segnalandone la necessità, insieme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>ai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>limiti della visita oculistica senza instillazione dello stesso,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>è necessario riportare in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 xml:space="preserve">cartella/scheda/memoria rilasciata all’assistito eventuali effetti avversi già avvenuti in relazione </w:t>
      </w:r>
      <w:proofErr w:type="spellStart"/>
      <w:r w:rsidRPr="000955AF">
        <w:rPr>
          <w:rFonts w:asciiTheme="minorHAnsi" w:hAnsiTheme="minorHAnsi" w:cstheme="minorHAnsi"/>
        </w:rPr>
        <w:t>ala</w:t>
      </w:r>
      <w:proofErr w:type="spellEnd"/>
      <w:r w:rsidRPr="000955AF">
        <w:rPr>
          <w:rFonts w:asciiTheme="minorHAnsi" w:hAnsiTheme="minorHAnsi" w:cstheme="minorHAnsi"/>
          <w:spacing w:val="-58"/>
        </w:rPr>
        <w:t xml:space="preserve"> </w:t>
      </w:r>
      <w:r w:rsidRPr="000955AF">
        <w:rPr>
          <w:rFonts w:asciiTheme="minorHAnsi" w:hAnsiTheme="minorHAnsi" w:cstheme="minorHAnsi"/>
        </w:rPr>
        <w:t>stessa</w:t>
      </w:r>
      <w:r w:rsidRPr="000955AF">
        <w:rPr>
          <w:rFonts w:asciiTheme="minorHAnsi" w:hAnsiTheme="minorHAnsi" w:cstheme="minorHAnsi"/>
          <w:spacing w:val="-2"/>
        </w:rPr>
        <w:t xml:space="preserve"> </w:t>
      </w:r>
      <w:r w:rsidRPr="000955AF">
        <w:rPr>
          <w:rFonts w:asciiTheme="minorHAnsi" w:hAnsiTheme="minorHAnsi" w:cstheme="minorHAnsi"/>
        </w:rPr>
        <w:t>procedura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ed indicare,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ove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nota, la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molecola</w:t>
      </w:r>
      <w:r w:rsidRPr="000955AF">
        <w:rPr>
          <w:rFonts w:asciiTheme="minorHAnsi" w:hAnsiTheme="minorHAnsi" w:cstheme="minorHAnsi"/>
          <w:spacing w:val="-2"/>
        </w:rPr>
        <w:t xml:space="preserve"> </w:t>
      </w:r>
      <w:r w:rsidRPr="000955AF">
        <w:rPr>
          <w:rFonts w:asciiTheme="minorHAnsi" w:hAnsiTheme="minorHAnsi" w:cstheme="minorHAnsi"/>
        </w:rPr>
        <w:t>impiegata.</w:t>
      </w:r>
    </w:p>
    <w:p w14:paraId="331F616E" w14:textId="77777777" w:rsidR="00713E25" w:rsidRPr="000955AF" w:rsidRDefault="0001060C">
      <w:pPr>
        <w:pStyle w:val="Corpotesto"/>
        <w:ind w:right="429"/>
        <w:jc w:val="both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</w:rPr>
        <w:t>Quando si effettua l’esame è necessario indicare in cartella/scheda/memoria che l’esame è stato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 xml:space="preserve">eseguito in </w:t>
      </w:r>
      <w:proofErr w:type="spellStart"/>
      <w:r w:rsidRPr="000955AF">
        <w:rPr>
          <w:rFonts w:asciiTheme="minorHAnsi" w:hAnsiTheme="minorHAnsi" w:cstheme="minorHAnsi"/>
          <w:b/>
        </w:rPr>
        <w:t>cicloplegia</w:t>
      </w:r>
      <w:proofErr w:type="spellEnd"/>
      <w:r w:rsidRPr="000955AF">
        <w:rPr>
          <w:rFonts w:asciiTheme="minorHAnsi" w:hAnsiTheme="minorHAnsi" w:cstheme="minorHAnsi"/>
        </w:rPr>
        <w:t>, ma non appare necessario, per procedere, richiedere consenso informato</w:t>
      </w:r>
      <w:r w:rsidRPr="000955AF">
        <w:rPr>
          <w:rFonts w:asciiTheme="minorHAnsi" w:hAnsiTheme="minorHAnsi" w:cstheme="minorHAnsi"/>
          <w:spacing w:val="-58"/>
        </w:rPr>
        <w:t xml:space="preserve"> </w:t>
      </w:r>
      <w:r w:rsidRPr="000955AF">
        <w:rPr>
          <w:rFonts w:asciiTheme="minorHAnsi" w:hAnsiTheme="minorHAnsi" w:cstheme="minorHAnsi"/>
        </w:rPr>
        <w:t>scritto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e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controfirmato, perché</w:t>
      </w:r>
      <w:r w:rsidRPr="000955AF">
        <w:rPr>
          <w:rFonts w:asciiTheme="minorHAnsi" w:hAnsiTheme="minorHAnsi" w:cstheme="minorHAnsi"/>
          <w:spacing w:val="-2"/>
        </w:rPr>
        <w:t xml:space="preserve"> </w:t>
      </w:r>
      <w:r w:rsidRPr="000955AF">
        <w:rPr>
          <w:rFonts w:asciiTheme="minorHAnsi" w:hAnsiTheme="minorHAnsi" w:cstheme="minorHAnsi"/>
        </w:rPr>
        <w:t>la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manovra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è</w:t>
      </w:r>
      <w:r w:rsidRPr="000955AF">
        <w:rPr>
          <w:rFonts w:asciiTheme="minorHAnsi" w:hAnsiTheme="minorHAnsi" w:cstheme="minorHAnsi"/>
          <w:spacing w:val="-2"/>
        </w:rPr>
        <w:t xml:space="preserve"> </w:t>
      </w:r>
      <w:r w:rsidRPr="000955AF">
        <w:rPr>
          <w:rFonts w:asciiTheme="minorHAnsi" w:hAnsiTheme="minorHAnsi" w:cstheme="minorHAnsi"/>
        </w:rPr>
        <w:t>considerata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buona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pratica.</w:t>
      </w:r>
    </w:p>
    <w:p w14:paraId="55E99832" w14:textId="77777777" w:rsidR="00713E25" w:rsidRPr="000955AF" w:rsidRDefault="0001060C">
      <w:pPr>
        <w:pStyle w:val="Corpotesto"/>
        <w:ind w:right="504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</w:rPr>
        <w:t>L’inserimento della dicitura “</w:t>
      </w:r>
      <w:proofErr w:type="spellStart"/>
      <w:r w:rsidRPr="000955AF">
        <w:rPr>
          <w:rFonts w:asciiTheme="minorHAnsi" w:hAnsiTheme="minorHAnsi" w:cstheme="minorHAnsi"/>
        </w:rPr>
        <w:t>cicloplegia</w:t>
      </w:r>
      <w:proofErr w:type="spellEnd"/>
      <w:r w:rsidRPr="000955AF">
        <w:rPr>
          <w:rFonts w:asciiTheme="minorHAnsi" w:hAnsiTheme="minorHAnsi" w:cstheme="minorHAnsi"/>
        </w:rPr>
        <w:t>”, nella cartella/scheda/memoria redatta fa fede sulla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>condivisione con i genitori, o esercenti la potestà familiare, della scelta di usare questo presidio</w:t>
      </w:r>
      <w:r w:rsidRPr="000955AF">
        <w:rPr>
          <w:rFonts w:asciiTheme="minorHAnsi" w:hAnsiTheme="minorHAnsi" w:cstheme="minorHAnsi"/>
          <w:spacing w:val="-58"/>
        </w:rPr>
        <w:t xml:space="preserve"> </w:t>
      </w:r>
      <w:r w:rsidRPr="000955AF">
        <w:rPr>
          <w:rFonts w:asciiTheme="minorHAnsi" w:hAnsiTheme="minorHAnsi" w:cstheme="minorHAnsi"/>
        </w:rPr>
        <w:t>diagnostico.</w:t>
      </w:r>
    </w:p>
    <w:p w14:paraId="7D808AD4" w14:textId="77777777" w:rsidR="00713E25" w:rsidRPr="000955AF" w:rsidRDefault="00713E25">
      <w:pPr>
        <w:pStyle w:val="Corpotesto"/>
        <w:spacing w:before="9"/>
        <w:ind w:left="0"/>
        <w:rPr>
          <w:rFonts w:asciiTheme="minorHAnsi" w:hAnsiTheme="minorHAnsi" w:cstheme="minorHAnsi"/>
          <w:sz w:val="23"/>
        </w:rPr>
      </w:pPr>
    </w:p>
    <w:p w14:paraId="475AF0F5" w14:textId="77777777" w:rsidR="00713E25" w:rsidRPr="000955AF" w:rsidRDefault="0001060C">
      <w:pPr>
        <w:pStyle w:val="Corpotesto"/>
        <w:jc w:val="both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</w:rPr>
        <w:t>PER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LA CICLOPLEGIA</w:t>
      </w:r>
    </w:p>
    <w:p w14:paraId="06DAD048" w14:textId="77777777" w:rsidR="00713E25" w:rsidRPr="000955AF" w:rsidRDefault="0001060C">
      <w:pPr>
        <w:spacing w:before="2"/>
        <w:ind w:left="112" w:right="836"/>
        <w:rPr>
          <w:rFonts w:asciiTheme="minorHAnsi" w:hAnsiTheme="minorHAnsi" w:cstheme="minorHAnsi"/>
          <w:sz w:val="24"/>
        </w:rPr>
      </w:pPr>
      <w:proofErr w:type="spellStart"/>
      <w:r w:rsidRPr="000955AF">
        <w:rPr>
          <w:rFonts w:asciiTheme="minorHAnsi" w:hAnsiTheme="minorHAnsi" w:cstheme="minorHAnsi"/>
          <w:sz w:val="24"/>
        </w:rPr>
        <w:t>tropicamide</w:t>
      </w:r>
      <w:proofErr w:type="spellEnd"/>
      <w:r w:rsidRPr="000955AF">
        <w:rPr>
          <w:rFonts w:asciiTheme="minorHAnsi" w:hAnsiTheme="minorHAnsi" w:cstheme="minorHAnsi"/>
          <w:sz w:val="24"/>
        </w:rPr>
        <w:t xml:space="preserve"> (azione circa 4 ore, </w:t>
      </w:r>
      <w:r w:rsidRPr="000955AF">
        <w:rPr>
          <w:rFonts w:asciiTheme="minorHAnsi" w:hAnsiTheme="minorHAnsi" w:cstheme="minorHAnsi"/>
          <w:b/>
          <w:sz w:val="24"/>
          <w:u w:val="single"/>
        </w:rPr>
        <w:t>da instillare almeno due volte</w:t>
      </w:r>
      <w:r w:rsidRPr="000955AF">
        <w:rPr>
          <w:rFonts w:asciiTheme="minorHAnsi" w:hAnsiTheme="minorHAnsi" w:cstheme="minorHAnsi"/>
          <w:b/>
          <w:sz w:val="24"/>
        </w:rPr>
        <w:t xml:space="preserve"> </w:t>
      </w:r>
      <w:r w:rsidRPr="000955AF">
        <w:rPr>
          <w:rFonts w:asciiTheme="minorHAnsi" w:hAnsiTheme="minorHAnsi" w:cstheme="minorHAnsi"/>
          <w:sz w:val="24"/>
        </w:rPr>
        <w:t>effetto massimo dopo 30’)</w:t>
      </w:r>
      <w:r w:rsidRPr="000955AF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0955AF">
        <w:rPr>
          <w:rFonts w:asciiTheme="minorHAnsi" w:hAnsiTheme="minorHAnsi" w:cstheme="minorHAnsi"/>
          <w:sz w:val="24"/>
        </w:rPr>
        <w:t>ciclopentolato</w:t>
      </w:r>
      <w:proofErr w:type="spellEnd"/>
      <w:r w:rsidRPr="000955AF">
        <w:rPr>
          <w:rFonts w:asciiTheme="minorHAnsi" w:hAnsiTheme="minorHAnsi" w:cstheme="minorHAnsi"/>
          <w:sz w:val="24"/>
        </w:rPr>
        <w:t xml:space="preserve"> (azione fino 8 ore, </w:t>
      </w:r>
      <w:r w:rsidRPr="000955AF">
        <w:rPr>
          <w:rFonts w:asciiTheme="minorHAnsi" w:hAnsiTheme="minorHAnsi" w:cstheme="minorHAnsi"/>
          <w:b/>
          <w:sz w:val="24"/>
          <w:u w:val="single"/>
        </w:rPr>
        <w:t>da instillare non più di due volte</w:t>
      </w:r>
      <w:r w:rsidRPr="000955AF">
        <w:rPr>
          <w:rFonts w:asciiTheme="minorHAnsi" w:hAnsiTheme="minorHAnsi" w:cstheme="minorHAnsi"/>
          <w:b/>
          <w:sz w:val="24"/>
        </w:rPr>
        <w:t xml:space="preserve"> </w:t>
      </w:r>
      <w:r w:rsidRPr="000955AF">
        <w:rPr>
          <w:rFonts w:asciiTheme="minorHAnsi" w:hAnsiTheme="minorHAnsi" w:cstheme="minorHAnsi"/>
          <w:sz w:val="24"/>
        </w:rPr>
        <w:t>a distanza di 5’, effetto</w:t>
      </w:r>
      <w:r w:rsidRPr="000955AF">
        <w:rPr>
          <w:rFonts w:asciiTheme="minorHAnsi" w:hAnsiTheme="minorHAnsi" w:cstheme="minorHAnsi"/>
          <w:spacing w:val="-57"/>
          <w:sz w:val="24"/>
        </w:rPr>
        <w:t xml:space="preserve"> </w:t>
      </w:r>
      <w:r w:rsidRPr="000955AF">
        <w:rPr>
          <w:rFonts w:asciiTheme="minorHAnsi" w:hAnsiTheme="minorHAnsi" w:cstheme="minorHAnsi"/>
          <w:sz w:val="24"/>
        </w:rPr>
        <w:t>massimo dopo</w:t>
      </w:r>
      <w:r w:rsidRPr="000955AF">
        <w:rPr>
          <w:rFonts w:asciiTheme="minorHAnsi" w:hAnsiTheme="minorHAnsi" w:cstheme="minorHAnsi"/>
          <w:spacing w:val="-1"/>
          <w:sz w:val="24"/>
        </w:rPr>
        <w:t xml:space="preserve"> </w:t>
      </w:r>
      <w:r w:rsidRPr="000955AF">
        <w:rPr>
          <w:rFonts w:asciiTheme="minorHAnsi" w:hAnsiTheme="minorHAnsi" w:cstheme="minorHAnsi"/>
          <w:sz w:val="24"/>
        </w:rPr>
        <w:t>20’)</w:t>
      </w:r>
    </w:p>
    <w:p w14:paraId="13751581" w14:textId="77777777" w:rsidR="00713E25" w:rsidRDefault="0001060C">
      <w:pPr>
        <w:pStyle w:val="Corpotesto"/>
        <w:ind w:right="110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</w:rPr>
        <w:t>L’impiego di Atropina in considerazione dell’azione prolungata, della necessità di instillazioni per</w:t>
      </w:r>
      <w:r w:rsidRPr="000955AF">
        <w:rPr>
          <w:rFonts w:asciiTheme="minorHAnsi" w:hAnsiTheme="minorHAnsi" w:cstheme="minorHAnsi"/>
          <w:spacing w:val="1"/>
        </w:rPr>
        <w:t xml:space="preserve"> </w:t>
      </w:r>
      <w:r w:rsidRPr="000955AF">
        <w:rPr>
          <w:rFonts w:asciiTheme="minorHAnsi" w:hAnsiTheme="minorHAnsi" w:cstheme="minorHAnsi"/>
        </w:rPr>
        <w:t>più giorni e dei frequenti episodi di intolleranza, non è oggi considerato presidio di prima scelta ma</w:t>
      </w:r>
      <w:r w:rsidRPr="000955AF">
        <w:rPr>
          <w:rFonts w:asciiTheme="minorHAnsi" w:hAnsiTheme="minorHAnsi" w:cstheme="minorHAnsi"/>
          <w:spacing w:val="-57"/>
        </w:rPr>
        <w:t xml:space="preserve"> </w:t>
      </w:r>
      <w:r w:rsidRPr="000955AF">
        <w:rPr>
          <w:rFonts w:asciiTheme="minorHAnsi" w:hAnsiTheme="minorHAnsi" w:cstheme="minorHAnsi"/>
        </w:rPr>
        <w:t>può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essere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riservato a</w:t>
      </w:r>
      <w:r w:rsidRPr="000955AF">
        <w:rPr>
          <w:rFonts w:asciiTheme="minorHAnsi" w:hAnsiTheme="minorHAnsi" w:cstheme="minorHAnsi"/>
          <w:spacing w:val="-1"/>
        </w:rPr>
        <w:t xml:space="preserve"> </w:t>
      </w:r>
      <w:r w:rsidRPr="000955AF">
        <w:rPr>
          <w:rFonts w:asciiTheme="minorHAnsi" w:hAnsiTheme="minorHAnsi" w:cstheme="minorHAnsi"/>
        </w:rPr>
        <w:t>situazioni  particolari.</w:t>
      </w:r>
    </w:p>
    <w:p w14:paraId="0DC6A3F3" w14:textId="77777777" w:rsidR="000955AF" w:rsidRPr="000955AF" w:rsidRDefault="000955AF">
      <w:pPr>
        <w:pStyle w:val="Corpotesto"/>
        <w:ind w:right="110"/>
        <w:rPr>
          <w:rFonts w:asciiTheme="minorHAnsi" w:hAnsiTheme="minorHAnsi" w:cstheme="minorHAnsi"/>
        </w:rPr>
      </w:pPr>
    </w:p>
    <w:p w14:paraId="188C4997" w14:textId="77777777" w:rsidR="00713E25" w:rsidRPr="000955AF" w:rsidRDefault="0001060C">
      <w:pPr>
        <w:pStyle w:val="Corpotesto"/>
        <w:spacing w:before="10"/>
        <w:jc w:val="both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  <w:color w:val="212121"/>
        </w:rPr>
        <w:t>PER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LA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DILATAZIONE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in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ambulatorio</w:t>
      </w:r>
    </w:p>
    <w:p w14:paraId="58EFF50E" w14:textId="77777777" w:rsidR="00713E25" w:rsidRPr="000955AF" w:rsidRDefault="0001060C">
      <w:pPr>
        <w:pStyle w:val="Corpotesto"/>
        <w:spacing w:before="7" w:line="247" w:lineRule="auto"/>
        <w:ind w:right="125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  <w:color w:val="212121"/>
        </w:rPr>
        <w:t>in particolar modo nella valutazione della ROP,</w:t>
      </w:r>
      <w:r w:rsidRPr="000955AF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mix</w:t>
      </w:r>
      <w:r w:rsidRPr="000955AF">
        <w:rPr>
          <w:rFonts w:asciiTheme="minorHAnsi" w:hAnsiTheme="minorHAnsi" w:cstheme="minorHAnsi"/>
          <w:color w:val="212121"/>
          <w:spacing w:val="60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di 1ml del prodotto commerciale disponibile</w:t>
      </w:r>
      <w:r w:rsidRPr="000955AF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 xml:space="preserve">di </w:t>
      </w:r>
      <w:proofErr w:type="spellStart"/>
      <w:r w:rsidRPr="000955AF">
        <w:rPr>
          <w:rFonts w:asciiTheme="minorHAnsi" w:hAnsiTheme="minorHAnsi" w:cstheme="minorHAnsi"/>
          <w:color w:val="212121"/>
        </w:rPr>
        <w:t>tropicamide-fenilefrina</w:t>
      </w:r>
      <w:proofErr w:type="spellEnd"/>
      <w:r w:rsidRPr="000955AF">
        <w:rPr>
          <w:rFonts w:asciiTheme="minorHAnsi" w:hAnsiTheme="minorHAnsi" w:cstheme="minorHAnsi"/>
          <w:color w:val="212121"/>
        </w:rPr>
        <w:t xml:space="preserve"> diluito in 3ml di </w:t>
      </w:r>
      <w:proofErr w:type="spellStart"/>
      <w:r w:rsidRPr="000955AF">
        <w:rPr>
          <w:rFonts w:asciiTheme="minorHAnsi" w:hAnsiTheme="minorHAnsi" w:cstheme="minorHAnsi"/>
          <w:color w:val="212121"/>
        </w:rPr>
        <w:t>tropicamide</w:t>
      </w:r>
      <w:proofErr w:type="spellEnd"/>
      <w:r w:rsidRPr="000955AF">
        <w:rPr>
          <w:rFonts w:asciiTheme="minorHAnsi" w:hAnsiTheme="minorHAnsi" w:cstheme="minorHAnsi"/>
          <w:color w:val="212121"/>
        </w:rPr>
        <w:t xml:space="preserve"> 1% </w:t>
      </w:r>
      <w:r w:rsidRPr="000955AF">
        <w:rPr>
          <w:rFonts w:asciiTheme="minorHAnsi" w:hAnsiTheme="minorHAnsi" w:cstheme="minorHAnsi"/>
          <w:b/>
          <w:color w:val="212121"/>
          <w:u w:val="single" w:color="212121"/>
        </w:rPr>
        <w:t>da instillare tre-quattro volte</w:t>
      </w:r>
      <w:r w:rsidRPr="000955AF">
        <w:rPr>
          <w:rFonts w:asciiTheme="minorHAnsi" w:hAnsiTheme="minorHAnsi" w:cstheme="minorHAnsi"/>
          <w:b/>
          <w:color w:val="21212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a</w:t>
      </w:r>
      <w:r w:rsidRPr="000955AF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distanza di 10'. Per i riferiti episodi di tachicardia ed ipertensione rilevati dopo somministrazione di</w:t>
      </w:r>
      <w:r w:rsidRPr="000955AF">
        <w:rPr>
          <w:rFonts w:asciiTheme="minorHAnsi" w:hAnsiTheme="minorHAnsi" w:cstheme="minorHAnsi"/>
          <w:color w:val="212121"/>
          <w:spacing w:val="-58"/>
        </w:rPr>
        <w:t xml:space="preserve"> </w:t>
      </w:r>
      <w:proofErr w:type="spellStart"/>
      <w:r w:rsidRPr="000955AF">
        <w:rPr>
          <w:rFonts w:asciiTheme="minorHAnsi" w:hAnsiTheme="minorHAnsi" w:cstheme="minorHAnsi"/>
          <w:color w:val="212121"/>
        </w:rPr>
        <w:t>tropicamide-fenilefrina</w:t>
      </w:r>
      <w:proofErr w:type="spellEnd"/>
      <w:r w:rsidRPr="000955AF">
        <w:rPr>
          <w:rFonts w:asciiTheme="minorHAnsi" w:hAnsiTheme="minorHAnsi" w:cstheme="minorHAnsi"/>
          <w:color w:val="212121"/>
        </w:rPr>
        <w:t xml:space="preserve"> si raccomanda di ostacolarne il passaggio attraverso i puntini lacrimali e il</w:t>
      </w:r>
      <w:r w:rsidRPr="000955AF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possibile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assorbimento attraverso la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mucosa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nasale.</w:t>
      </w:r>
    </w:p>
    <w:p w14:paraId="0898F3B4" w14:textId="77777777" w:rsidR="00713E25" w:rsidRPr="000955AF" w:rsidRDefault="00713E25">
      <w:pPr>
        <w:pStyle w:val="Corpotesto"/>
        <w:ind w:left="0"/>
        <w:rPr>
          <w:rFonts w:asciiTheme="minorHAnsi" w:hAnsiTheme="minorHAnsi" w:cstheme="minorHAnsi"/>
          <w:sz w:val="25"/>
        </w:rPr>
      </w:pPr>
    </w:p>
    <w:p w14:paraId="6EC9FD28" w14:textId="77777777" w:rsidR="00713E25" w:rsidRPr="000955AF" w:rsidRDefault="0001060C">
      <w:pPr>
        <w:pStyle w:val="Corpotesto"/>
        <w:spacing w:line="249" w:lineRule="auto"/>
        <w:ind w:right="98"/>
        <w:rPr>
          <w:rFonts w:asciiTheme="minorHAnsi" w:hAnsiTheme="minorHAnsi" w:cstheme="minorHAnsi"/>
        </w:rPr>
      </w:pPr>
      <w:r w:rsidRPr="000955AF">
        <w:rPr>
          <w:rFonts w:asciiTheme="minorHAnsi" w:hAnsiTheme="minorHAnsi" w:cstheme="minorHAnsi"/>
          <w:color w:val="212121"/>
        </w:rPr>
        <w:t>Per somministrazione di farmaco, una sola goccia se correttamente ins</w:t>
      </w:r>
      <w:r w:rsidR="000955AF">
        <w:rPr>
          <w:rFonts w:asciiTheme="minorHAnsi" w:hAnsiTheme="minorHAnsi" w:cstheme="minorHAnsi"/>
          <w:color w:val="212121"/>
        </w:rPr>
        <w:t xml:space="preserve">tillata è in genere sufficiente; </w:t>
      </w:r>
      <w:r w:rsidRPr="000955AF">
        <w:rPr>
          <w:rFonts w:asciiTheme="minorHAnsi" w:hAnsiTheme="minorHAnsi" w:cstheme="minorHAnsi"/>
          <w:color w:val="212121"/>
        </w:rPr>
        <w:t>nei</w:t>
      </w:r>
      <w:r w:rsidRPr="000955AF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bambini</w:t>
      </w:r>
      <w:r w:rsidRPr="000955AF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molto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pigmentati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può</w:t>
      </w:r>
      <w:r w:rsidRPr="000955AF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essere</w:t>
      </w:r>
      <w:r w:rsidRPr="000955AF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necessaria</w:t>
      </w:r>
      <w:r w:rsidRPr="000955AF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una</w:t>
      </w:r>
      <w:r w:rsidRPr="000955AF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somministrazione</w:t>
      </w:r>
      <w:r w:rsidRPr="000955AF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0955AF">
        <w:rPr>
          <w:rFonts w:asciiTheme="minorHAnsi" w:hAnsiTheme="minorHAnsi" w:cstheme="minorHAnsi"/>
          <w:color w:val="212121"/>
        </w:rPr>
        <w:t>supplementare.</w:t>
      </w:r>
    </w:p>
    <w:sectPr w:rsidR="00713E25" w:rsidRPr="00095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06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B0EC" w14:textId="77777777" w:rsidR="00B93D37" w:rsidRDefault="00B93D37" w:rsidP="00BA7723">
      <w:r>
        <w:separator/>
      </w:r>
    </w:p>
  </w:endnote>
  <w:endnote w:type="continuationSeparator" w:id="0">
    <w:p w14:paraId="7962F894" w14:textId="77777777" w:rsidR="00B93D37" w:rsidRDefault="00B93D37" w:rsidP="00BA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6E4B" w14:textId="77777777" w:rsidR="00E60538" w:rsidRDefault="00E605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F2C3" w14:textId="77777777" w:rsidR="00BA7723" w:rsidRPr="000955AF" w:rsidRDefault="00BA7723" w:rsidP="00BA7723">
    <w:pPr>
      <w:pStyle w:val="Pidipagina"/>
      <w:rPr>
        <w:rFonts w:asciiTheme="minorHAnsi" w:hAnsiTheme="minorHAnsi" w:cstheme="minorHAnsi"/>
        <w:sz w:val="20"/>
      </w:rPr>
    </w:pPr>
    <w:r w:rsidRPr="000955AF">
      <w:rPr>
        <w:rFonts w:asciiTheme="minorHAnsi" w:hAnsiTheme="minorHAnsi" w:cstheme="minorHAnsi"/>
        <w:sz w:val="20"/>
      </w:rPr>
      <w:t>Approvato dal Consiglio Direttivo SIOPS in data 31 Gennaio 2023</w:t>
    </w:r>
  </w:p>
  <w:p w14:paraId="36FAE30E" w14:textId="77777777" w:rsidR="00BA7723" w:rsidRDefault="00BA7723">
    <w:pPr>
      <w:pStyle w:val="Pidipagina"/>
    </w:pPr>
  </w:p>
  <w:p w14:paraId="51E55D1D" w14:textId="77777777" w:rsidR="00BA7723" w:rsidRDefault="00BA77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EDC5" w14:textId="77777777" w:rsidR="00E60538" w:rsidRDefault="00E605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77DD" w14:textId="77777777" w:rsidR="00B93D37" w:rsidRDefault="00B93D37" w:rsidP="00BA7723">
      <w:r>
        <w:separator/>
      </w:r>
    </w:p>
  </w:footnote>
  <w:footnote w:type="continuationSeparator" w:id="0">
    <w:p w14:paraId="565F7828" w14:textId="77777777" w:rsidR="00B93D37" w:rsidRDefault="00B93D37" w:rsidP="00BA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09A" w14:textId="77777777" w:rsidR="00E60538" w:rsidRDefault="00E605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17" w:type="dxa"/>
      <w:tblInd w:w="-17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609"/>
      <w:gridCol w:w="1976"/>
      <w:gridCol w:w="5085"/>
    </w:tblGrid>
    <w:tr w:rsidR="00E60538" w14:paraId="01EADEEE" w14:textId="77777777" w:rsidTr="004C6F34">
      <w:trPr>
        <w:trHeight w:val="983"/>
      </w:trPr>
      <w:tc>
        <w:tcPr>
          <w:tcW w:w="1447" w:type="dxa"/>
        </w:tcPr>
        <w:p w14:paraId="2F4D83BD" w14:textId="77777777" w:rsidR="00E60538" w:rsidRDefault="00E60538" w:rsidP="00E60538">
          <w:pPr>
            <w:autoSpaceDE w:val="0"/>
            <w:autoSpaceDN w:val="0"/>
            <w:adjustRightInd w:val="0"/>
            <w:jc w:val="center"/>
            <w:rPr>
              <w:color w:val="000000" w:themeColor="text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A76FC85" wp14:editId="31C24CAB">
                <wp:extent cx="590550" cy="590550"/>
                <wp:effectExtent l="0" t="0" r="0" b="0"/>
                <wp:docPr id="2" name="Immagine 2" descr="logo_siop_is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iop_is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61" cy="59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 w:themeColor="text1"/>
              <w:sz w:val="28"/>
              <w:szCs w:val="28"/>
            </w:rPr>
            <w:t xml:space="preserve">     </w:t>
          </w:r>
        </w:p>
      </w:tc>
      <w:tc>
        <w:tcPr>
          <w:tcW w:w="1609" w:type="dxa"/>
        </w:tcPr>
        <w:p w14:paraId="4BC3C42C" w14:textId="77777777" w:rsidR="00E60538" w:rsidRPr="006B4D51" w:rsidRDefault="00E60538" w:rsidP="00E60538">
          <w:pPr>
            <w:pStyle w:val="Corpotesto"/>
            <w:spacing w:before="7"/>
            <w:ind w:left="20"/>
            <w:jc w:val="center"/>
            <w:rPr>
              <w:rFonts w:asciiTheme="minorHAnsi" w:hAnsiTheme="minorHAnsi" w:cstheme="minorHAnsi"/>
              <w:color w:val="000000" w:themeColor="text1"/>
              <w:szCs w:val="18"/>
            </w:rPr>
          </w:pPr>
          <w:r>
            <w:rPr>
              <w:rFonts w:asciiTheme="minorHAnsi" w:hAnsiTheme="minorHAnsi" w:cstheme="minorHAnsi"/>
              <w:noProof/>
              <w:color w:val="000000" w:themeColor="text1"/>
              <w:szCs w:val="18"/>
            </w:rPr>
            <w:t xml:space="preserve">   </w:t>
          </w:r>
          <w:r>
            <w:rPr>
              <w:rFonts w:asciiTheme="minorHAnsi" w:hAnsiTheme="minorHAnsi" w:cstheme="minorHAnsi"/>
              <w:noProof/>
              <w:color w:val="000000" w:themeColor="text1"/>
              <w:szCs w:val="18"/>
            </w:rPr>
            <w:drawing>
              <wp:inline distT="0" distB="0" distL="0" distR="0" wp14:anchorId="0603F824" wp14:editId="61534382">
                <wp:extent cx="762266" cy="552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05" cy="560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</w:tcPr>
        <w:p w14:paraId="3049B602" w14:textId="77777777" w:rsidR="00E60538" w:rsidRPr="006B4D51" w:rsidRDefault="00E60538" w:rsidP="00E60538">
          <w:pPr>
            <w:pStyle w:val="Corpotesto"/>
            <w:spacing w:before="7"/>
            <w:ind w:left="20"/>
            <w:jc w:val="center"/>
            <w:rPr>
              <w:rFonts w:asciiTheme="minorHAnsi" w:hAnsiTheme="minorHAnsi" w:cstheme="minorHAnsi"/>
              <w:color w:val="000000" w:themeColor="text1"/>
              <w:szCs w:val="18"/>
            </w:rPr>
          </w:pPr>
          <w:r>
            <w:rPr>
              <w:rFonts w:asciiTheme="minorHAnsi" w:hAnsiTheme="minorHAnsi" w:cstheme="minorHAnsi"/>
              <w:noProof/>
              <w:color w:val="000000" w:themeColor="text1"/>
              <w:szCs w:val="18"/>
            </w:rPr>
            <w:drawing>
              <wp:inline distT="0" distB="0" distL="0" distR="0" wp14:anchorId="5251C88A" wp14:editId="268728B5">
                <wp:extent cx="1104043" cy="594344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525" cy="599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</w:tcPr>
        <w:p w14:paraId="16D84565" w14:textId="14A089FD" w:rsidR="00E60538" w:rsidRPr="006B4D51" w:rsidRDefault="00E60538" w:rsidP="00D36EEC">
          <w:pPr>
            <w:pStyle w:val="Titolo"/>
            <w:rPr>
              <w:rFonts w:asciiTheme="minorHAnsi" w:hAnsiTheme="minorHAnsi" w:cstheme="minorHAnsi"/>
              <w:color w:val="000000" w:themeColor="text1"/>
              <w:szCs w:val="18"/>
            </w:rPr>
          </w:pPr>
          <w:r w:rsidRPr="002616C0">
            <w:rPr>
              <w:rFonts w:asciiTheme="minorHAnsi" w:hAnsiTheme="minorHAnsi" w:cstheme="minorHAnsi"/>
              <w:b w:val="0"/>
            </w:rPr>
            <w:t>PROTOCOLLI</w:t>
          </w:r>
          <w:r w:rsidRPr="002616C0">
            <w:rPr>
              <w:rFonts w:asciiTheme="minorHAnsi" w:hAnsiTheme="minorHAnsi" w:cstheme="minorHAnsi"/>
              <w:b w:val="0"/>
              <w:spacing w:val="-2"/>
            </w:rPr>
            <w:t xml:space="preserve"> </w:t>
          </w:r>
          <w:r w:rsidRPr="002616C0">
            <w:rPr>
              <w:rFonts w:asciiTheme="minorHAnsi" w:hAnsiTheme="minorHAnsi" w:cstheme="minorHAnsi"/>
              <w:b w:val="0"/>
            </w:rPr>
            <w:t>DI</w:t>
          </w:r>
          <w:r w:rsidRPr="002616C0">
            <w:rPr>
              <w:rFonts w:asciiTheme="minorHAnsi" w:hAnsiTheme="minorHAnsi" w:cstheme="minorHAnsi"/>
              <w:b w:val="0"/>
              <w:spacing w:val="-2"/>
            </w:rPr>
            <w:t xml:space="preserve"> </w:t>
          </w:r>
          <w:r w:rsidRPr="002616C0">
            <w:rPr>
              <w:rFonts w:asciiTheme="minorHAnsi" w:hAnsiTheme="minorHAnsi" w:cstheme="minorHAnsi"/>
              <w:b w:val="0"/>
            </w:rPr>
            <w:t>CICLOPLEGIA</w:t>
          </w:r>
          <w:r w:rsidRPr="002616C0">
            <w:rPr>
              <w:rFonts w:asciiTheme="minorHAnsi" w:hAnsiTheme="minorHAnsi" w:cstheme="minorHAnsi"/>
              <w:b w:val="0"/>
              <w:spacing w:val="-1"/>
            </w:rPr>
            <w:t xml:space="preserve"> </w:t>
          </w:r>
          <w:r w:rsidRPr="002616C0">
            <w:rPr>
              <w:rFonts w:asciiTheme="minorHAnsi" w:hAnsiTheme="minorHAnsi" w:cstheme="minorHAnsi"/>
              <w:b w:val="0"/>
            </w:rPr>
            <w:t>E</w:t>
          </w:r>
          <w:r w:rsidRPr="002616C0">
            <w:rPr>
              <w:rFonts w:asciiTheme="minorHAnsi" w:hAnsiTheme="minorHAnsi" w:cstheme="minorHAnsi"/>
              <w:b w:val="0"/>
              <w:spacing w:val="-3"/>
            </w:rPr>
            <w:t xml:space="preserve"> </w:t>
          </w:r>
          <w:r w:rsidRPr="002616C0">
            <w:rPr>
              <w:rFonts w:asciiTheme="minorHAnsi" w:hAnsiTheme="minorHAnsi" w:cstheme="minorHAnsi"/>
              <w:b w:val="0"/>
            </w:rPr>
            <w:t>MIDRIASI</w:t>
          </w:r>
          <w:r w:rsidRPr="002616C0">
            <w:rPr>
              <w:rFonts w:asciiTheme="minorHAnsi" w:hAnsiTheme="minorHAnsi" w:cstheme="minorHAnsi"/>
              <w:b w:val="0"/>
              <w:spacing w:val="-1"/>
            </w:rPr>
            <w:t xml:space="preserve"> </w:t>
          </w:r>
        </w:p>
      </w:tc>
    </w:tr>
  </w:tbl>
  <w:p w14:paraId="0A2816EE" w14:textId="77777777" w:rsidR="00BA7723" w:rsidRDefault="00BA77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FF04" w14:textId="77777777" w:rsidR="00E60538" w:rsidRDefault="00E605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25"/>
    <w:rsid w:val="0001060C"/>
    <w:rsid w:val="000955AF"/>
    <w:rsid w:val="002616C0"/>
    <w:rsid w:val="002D0B6D"/>
    <w:rsid w:val="00713E25"/>
    <w:rsid w:val="00B232D7"/>
    <w:rsid w:val="00B7191C"/>
    <w:rsid w:val="00B93D37"/>
    <w:rsid w:val="00BA7723"/>
    <w:rsid w:val="00BD4659"/>
    <w:rsid w:val="00D36EEC"/>
    <w:rsid w:val="00E6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0E46"/>
  <w15:docId w15:val="{B6D5EF8E-14FC-4B8A-97D2-6B3D706A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7723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6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7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72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77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72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723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7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table" w:styleId="Grigliatabella">
    <w:name w:val="Table Grid"/>
    <w:basedOn w:val="Tabellanormale"/>
    <w:uiPriority w:val="39"/>
    <w:rsid w:val="00BA772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A772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"/>
    <w:rsid w:val="00BD4659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serafini</dc:creator>
  <cp:lastModifiedBy>CONGRESS</cp:lastModifiedBy>
  <cp:revision>4</cp:revision>
  <dcterms:created xsi:type="dcterms:W3CDTF">2023-02-10T12:02:00Z</dcterms:created>
  <dcterms:modified xsi:type="dcterms:W3CDTF">2023-02-10T12:25:00Z</dcterms:modified>
</cp:coreProperties>
</file>